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Vänersborg kommunfullmäktige</w:t>
      </w:r>
    </w:p>
    <w:p>
      <w:pPr>
        <w:pStyle w:val="Heading1"/>
      </w:pPr>
      <w:r>
        <w:t xml:space="preserve">Satsa på tidig läsinlärning i lågstadiet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Vänersborg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Läsresultaten i Vänersborgs lågstadier ligger under rikssnittet enligt Skolverket 2024. Tidiga insatser i årskurs 1–3 har visat sig ge långsiktiga kunskapsvinster.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Vänersborg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får i uppdrag att införa en kommunövergripande lässatsning i årskurs 1–3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varje skola tilldelas extra läsresurser motsvarande 0,5 lärartjänst per 100 elever.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 följs upp med nationella prov och redovisas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satsningen lämnas till kommunfullmäktige 2029.</w:t>
      </w:r>
    </w:p>
    <w:p>
      <w:pPr>
        <w:spacing w:before="360"/>
      </w:pPr>
    </w:p>
    <w:p>
      <w:r>
        <w:t xml:space="preserve">Vänersborg,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Vänersborg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2026-07-14T05:39:47.507Z</dcterms:created>
  <dcterms:modified xsi:type="dcterms:W3CDTF">2026-07-14T05:39:47.507Z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